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875" w:rsidRDefault="00A43875" w:rsidP="00C344A7">
      <w:pPr>
        <w:jc w:val="center"/>
        <w:rPr>
          <w:rFonts w:asciiTheme="minorBidi" w:hAnsiTheme="minorBidi" w:cstheme="minorBidi"/>
          <w:b/>
          <w:bCs/>
          <w:sz w:val="32"/>
          <w:szCs w:val="32"/>
          <w:u w:val="single"/>
          <w:lang w:val="en-GB" w:eastAsia="en-GB"/>
        </w:rPr>
      </w:pPr>
      <w:bookmarkStart w:id="0" w:name="_Hlk491591419"/>
      <w:r w:rsidRPr="00A43875">
        <w:rPr>
          <w:rFonts w:asciiTheme="minorBidi" w:hAnsiTheme="minorBidi" w:cstheme="minorBidi"/>
          <w:b/>
          <w:bCs/>
          <w:sz w:val="32"/>
          <w:szCs w:val="32"/>
          <w:u w:val="single"/>
          <w:lang w:val="en-GB" w:eastAsia="en-GB"/>
        </w:rPr>
        <w:t>Statistical Applications for Health Information</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A43875" w:rsidRPr="00852913">
        <w:rPr>
          <w:rStyle w:val="fs13"/>
          <w:rFonts w:ascii="Arial" w:hAnsi="Arial" w:cs="Arial"/>
          <w:b/>
          <w:u w:val="single"/>
          <w:lang w:val="en-GB"/>
        </w:rPr>
        <w:t>Statistical Applications for Health Informatio</w:t>
      </w:r>
      <w:r w:rsidR="00852913">
        <w:rPr>
          <w:rStyle w:val="fs13"/>
          <w:rFonts w:ascii="Arial" w:hAnsi="Arial" w:cs="Arial"/>
          <w:b/>
          <w:u w:val="single"/>
          <w:lang w:val="en-GB"/>
        </w:rPr>
        <w:t>n</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8800C4" w:rsidTr="008A4361">
        <w:tc>
          <w:tcPr>
            <w:tcW w:w="603" w:type="dxa"/>
          </w:tcPr>
          <w:p w:rsidR="005004B0" w:rsidRPr="008800C4" w:rsidRDefault="005004B0" w:rsidP="001A2D8A">
            <w:pPr>
              <w:jc w:val="center"/>
              <w:rPr>
                <w:rFonts w:ascii="Arial" w:hAnsi="Arial" w:cs="Arial"/>
                <w:b/>
                <w:bCs/>
              </w:rPr>
            </w:pPr>
            <w:r w:rsidRPr="008800C4">
              <w:rPr>
                <w:rFonts w:ascii="Arial" w:hAnsi="Arial" w:cs="Arial"/>
                <w:b/>
                <w:bCs/>
              </w:rPr>
              <w:t>No.</w:t>
            </w:r>
          </w:p>
        </w:tc>
        <w:tc>
          <w:tcPr>
            <w:tcW w:w="7480" w:type="dxa"/>
          </w:tcPr>
          <w:p w:rsidR="005004B0" w:rsidRPr="008800C4" w:rsidRDefault="005004B0" w:rsidP="00711D22">
            <w:pPr>
              <w:jc w:val="center"/>
              <w:rPr>
                <w:rFonts w:ascii="Arial" w:hAnsi="Arial" w:cs="Arial"/>
                <w:b/>
                <w:bCs/>
              </w:rPr>
            </w:pPr>
            <w:r w:rsidRPr="008800C4">
              <w:rPr>
                <w:rFonts w:ascii="Arial" w:hAnsi="Arial" w:cs="Arial"/>
                <w:b/>
                <w:bCs/>
              </w:rPr>
              <w:t>QUESTIONS</w:t>
            </w:r>
          </w:p>
        </w:tc>
        <w:tc>
          <w:tcPr>
            <w:tcW w:w="1410" w:type="dxa"/>
          </w:tcPr>
          <w:p w:rsidR="005004B0" w:rsidRPr="008800C4" w:rsidRDefault="005004B0" w:rsidP="005004B0">
            <w:pPr>
              <w:jc w:val="center"/>
              <w:rPr>
                <w:rFonts w:ascii="Arial" w:hAnsi="Arial" w:cs="Arial"/>
                <w:b/>
                <w:bCs/>
              </w:rPr>
            </w:pPr>
            <w:r w:rsidRPr="008800C4">
              <w:rPr>
                <w:rFonts w:ascii="Arial" w:hAnsi="Arial" w:cs="Arial"/>
                <w:b/>
                <w:bCs/>
              </w:rPr>
              <w:t>MARK</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1</w:t>
            </w:r>
          </w:p>
        </w:tc>
        <w:tc>
          <w:tcPr>
            <w:tcW w:w="7480" w:type="dxa"/>
          </w:tcPr>
          <w:p w:rsidR="004C7D34"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Describe the differences between the direct and indirect standardization methods of adjusting</w:t>
            </w:r>
            <w:r w:rsidR="008800C4">
              <w:rPr>
                <w:rFonts w:ascii="Arial" w:hAnsi="Arial" w:cs="Arial"/>
                <w:lang w:eastAsia="en-GB"/>
              </w:rPr>
              <w:t xml:space="preserve"> </w:t>
            </w:r>
            <w:r w:rsidRPr="008800C4">
              <w:rPr>
                <w:rFonts w:ascii="Arial" w:hAnsi="Arial" w:cs="Arial"/>
                <w:lang w:eastAsia="en-GB"/>
              </w:rPr>
              <w:t>mortality and morbidity rates.</w:t>
            </w:r>
          </w:p>
        </w:tc>
        <w:tc>
          <w:tcPr>
            <w:tcW w:w="1410" w:type="dxa"/>
          </w:tcPr>
          <w:p w:rsidR="005004B0" w:rsidRPr="008800C4" w:rsidRDefault="008800C4" w:rsidP="001A2D8A">
            <w:pPr>
              <w:jc w:val="both"/>
              <w:rPr>
                <w:rFonts w:ascii="Arial" w:hAnsi="Arial" w:cs="Arial"/>
              </w:rPr>
            </w:pPr>
            <w:r>
              <w:rPr>
                <w:rFonts w:ascii="Arial" w:hAnsi="Arial" w:cs="Arial"/>
              </w:rPr>
              <w:t>1</w:t>
            </w:r>
            <w:r w:rsidR="00A81845" w:rsidRPr="008800C4">
              <w:rPr>
                <w:rFonts w:ascii="Arial" w:hAnsi="Arial" w:cs="Arial"/>
              </w:rPr>
              <w:t>0</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2</w:t>
            </w:r>
          </w:p>
        </w:tc>
        <w:tc>
          <w:tcPr>
            <w:tcW w:w="7480" w:type="dxa"/>
          </w:tcPr>
          <w:p w:rsidR="008A4361" w:rsidRPr="008800C4" w:rsidRDefault="00DB3A08" w:rsidP="008800C4">
            <w:pPr>
              <w:autoSpaceDE w:val="0"/>
              <w:autoSpaceDN w:val="0"/>
              <w:adjustRightInd w:val="0"/>
              <w:jc w:val="both"/>
              <w:rPr>
                <w:rFonts w:ascii="Arial" w:hAnsi="Arial" w:cs="Arial"/>
                <w:bCs/>
                <w:color w:val="231F20"/>
                <w:lang w:eastAsia="en-GB"/>
              </w:rPr>
            </w:pPr>
            <w:r w:rsidRPr="008800C4">
              <w:rPr>
                <w:rFonts w:ascii="Arial" w:hAnsi="Arial" w:cs="Arial"/>
                <w:lang w:eastAsia="en-GB"/>
              </w:rPr>
              <w:t xml:space="preserve">Describe the differences between neonatal mortality rate, </w:t>
            </w:r>
            <w:r w:rsidR="008800C4" w:rsidRPr="008800C4">
              <w:rPr>
                <w:rFonts w:ascii="Arial" w:hAnsi="Arial" w:cs="Arial"/>
                <w:lang w:eastAsia="en-GB"/>
              </w:rPr>
              <w:t>post neonatal</w:t>
            </w:r>
            <w:r w:rsidRPr="008800C4">
              <w:rPr>
                <w:rFonts w:ascii="Arial" w:hAnsi="Arial" w:cs="Arial"/>
                <w:lang w:eastAsia="en-GB"/>
              </w:rPr>
              <w:t xml:space="preserve"> mortality rate,</w:t>
            </w:r>
            <w:r w:rsidR="008800C4">
              <w:rPr>
                <w:rFonts w:ascii="Arial" w:hAnsi="Arial" w:cs="Arial"/>
                <w:lang w:eastAsia="en-GB"/>
              </w:rPr>
              <w:t xml:space="preserve"> </w:t>
            </w:r>
            <w:r w:rsidRPr="008800C4">
              <w:rPr>
                <w:rFonts w:ascii="Arial" w:hAnsi="Arial" w:cs="Arial"/>
                <w:lang w:eastAsia="en-GB"/>
              </w:rPr>
              <w:t>and infant mortality rate.</w:t>
            </w:r>
          </w:p>
        </w:tc>
        <w:tc>
          <w:tcPr>
            <w:tcW w:w="1410" w:type="dxa"/>
          </w:tcPr>
          <w:p w:rsidR="005004B0" w:rsidRPr="008800C4" w:rsidRDefault="008800C4" w:rsidP="001A2D8A">
            <w:pPr>
              <w:jc w:val="both"/>
              <w:rPr>
                <w:rFonts w:ascii="Arial" w:hAnsi="Arial" w:cs="Arial"/>
              </w:rPr>
            </w:pPr>
            <w:r>
              <w:rPr>
                <w:rFonts w:ascii="Arial" w:hAnsi="Arial" w:cs="Arial"/>
              </w:rPr>
              <w:t>1</w:t>
            </w:r>
            <w:r w:rsidR="00A81845" w:rsidRPr="008800C4">
              <w:rPr>
                <w:rFonts w:ascii="Arial" w:hAnsi="Arial" w:cs="Arial"/>
              </w:rPr>
              <w:t>0</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3</w:t>
            </w:r>
          </w:p>
        </w:tc>
        <w:tc>
          <w:tcPr>
            <w:tcW w:w="7480" w:type="dxa"/>
          </w:tcPr>
          <w:p w:rsidR="008A4361"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Differentiate between the following types of bar charts: one</w:t>
            </w:r>
            <w:r w:rsidR="008800C4">
              <w:rPr>
                <w:rFonts w:ascii="Arial" w:hAnsi="Arial" w:cs="Arial"/>
                <w:lang w:eastAsia="en-GB"/>
              </w:rPr>
              <w:t xml:space="preserve"> </w:t>
            </w:r>
            <w:r w:rsidRPr="008800C4">
              <w:rPr>
                <w:rFonts w:ascii="Arial" w:hAnsi="Arial" w:cs="Arial"/>
                <w:lang w:eastAsia="en-GB"/>
              </w:rPr>
              <w:t>variable</w:t>
            </w:r>
            <w:r w:rsidR="008800C4">
              <w:rPr>
                <w:rFonts w:ascii="Arial" w:hAnsi="Arial" w:cs="Arial"/>
                <w:lang w:eastAsia="en-GB"/>
              </w:rPr>
              <w:t xml:space="preserve"> </w:t>
            </w:r>
            <w:r w:rsidRPr="008800C4">
              <w:rPr>
                <w:rFonts w:ascii="Arial" w:hAnsi="Arial" w:cs="Arial"/>
                <w:lang w:eastAsia="en-GB"/>
              </w:rPr>
              <w:t>bar chart, grouped bar charts, stacked bar charts, and</w:t>
            </w:r>
            <w:r w:rsidR="008800C4">
              <w:rPr>
                <w:rFonts w:ascii="Arial" w:hAnsi="Arial" w:cs="Arial"/>
                <w:lang w:eastAsia="en-GB"/>
              </w:rPr>
              <w:t xml:space="preserve"> </w:t>
            </w:r>
            <w:r w:rsidRPr="008800C4">
              <w:rPr>
                <w:rFonts w:ascii="Arial" w:hAnsi="Arial" w:cs="Arial"/>
                <w:lang w:eastAsia="en-GB"/>
              </w:rPr>
              <w:t>100% component bar charts.</w:t>
            </w:r>
          </w:p>
        </w:tc>
        <w:tc>
          <w:tcPr>
            <w:tcW w:w="1410" w:type="dxa"/>
          </w:tcPr>
          <w:p w:rsidR="005004B0" w:rsidRPr="008800C4" w:rsidRDefault="008800C4" w:rsidP="00D11888">
            <w:pPr>
              <w:jc w:val="both"/>
              <w:rPr>
                <w:rFonts w:ascii="Arial" w:hAnsi="Arial" w:cs="Arial"/>
              </w:rPr>
            </w:pPr>
            <w:r>
              <w:rPr>
                <w:rFonts w:ascii="Arial" w:hAnsi="Arial" w:cs="Arial"/>
              </w:rPr>
              <w:t>5</w:t>
            </w:r>
            <w:r w:rsidR="008A4361" w:rsidRPr="008800C4">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4</w:t>
            </w:r>
          </w:p>
        </w:tc>
        <w:tc>
          <w:tcPr>
            <w:tcW w:w="7480" w:type="dxa"/>
          </w:tcPr>
          <w:p w:rsidR="00DB3A08" w:rsidRPr="008800C4" w:rsidRDefault="00DB3A08" w:rsidP="008800C4">
            <w:pPr>
              <w:autoSpaceDE w:val="0"/>
              <w:autoSpaceDN w:val="0"/>
              <w:adjustRightInd w:val="0"/>
              <w:jc w:val="both"/>
              <w:rPr>
                <w:rFonts w:ascii="Arial" w:hAnsi="Arial" w:cs="Arial"/>
              </w:rPr>
            </w:pPr>
            <w:r w:rsidRPr="008800C4">
              <w:rPr>
                <w:rFonts w:ascii="Arial" w:hAnsi="Arial" w:cs="Arial"/>
              </w:rPr>
              <w:t>Organize the following statistics for the month of January into a table.</w:t>
            </w:r>
          </w:p>
          <w:p w:rsidR="00DB3A08" w:rsidRPr="008800C4" w:rsidRDefault="00DB3A08" w:rsidP="008800C4">
            <w:pPr>
              <w:autoSpaceDE w:val="0"/>
              <w:autoSpaceDN w:val="0"/>
              <w:adjustRightInd w:val="0"/>
              <w:jc w:val="both"/>
              <w:rPr>
                <w:rFonts w:ascii="Arial" w:hAnsi="Arial" w:cs="Arial"/>
                <w:b/>
                <w:bCs/>
              </w:rPr>
            </w:pPr>
          </w:p>
          <w:p w:rsidR="00DB3A08" w:rsidRPr="008800C4" w:rsidRDefault="00DB3A08" w:rsidP="008800C4">
            <w:pPr>
              <w:autoSpaceDE w:val="0"/>
              <w:autoSpaceDN w:val="0"/>
              <w:adjustRightInd w:val="0"/>
              <w:jc w:val="both"/>
              <w:rPr>
                <w:rFonts w:ascii="Arial" w:hAnsi="Arial" w:cs="Arial"/>
                <w:b/>
                <w:bCs/>
              </w:rPr>
            </w:pPr>
            <w:r w:rsidRPr="008800C4">
              <w:rPr>
                <w:rFonts w:ascii="Arial" w:hAnsi="Arial" w:cs="Arial"/>
                <w:b/>
                <w:bCs/>
              </w:rPr>
              <w:t>Critical Care Cancer Research Institute Statistics for January</w:t>
            </w:r>
          </w:p>
          <w:p w:rsidR="00DB3A08" w:rsidRPr="008800C4" w:rsidRDefault="00DB3A08" w:rsidP="008800C4">
            <w:pPr>
              <w:autoSpaceDE w:val="0"/>
              <w:autoSpaceDN w:val="0"/>
              <w:adjustRightInd w:val="0"/>
              <w:jc w:val="both"/>
              <w:rPr>
                <w:rFonts w:ascii="Arial" w:hAnsi="Arial" w:cs="Arial"/>
                <w:b/>
                <w:bCs/>
              </w:rPr>
            </w:pPr>
          </w:p>
          <w:p w:rsidR="00DB3A08" w:rsidRPr="008800C4" w:rsidRDefault="00DB3A08" w:rsidP="008800C4">
            <w:pPr>
              <w:autoSpaceDE w:val="0"/>
              <w:autoSpaceDN w:val="0"/>
              <w:adjustRightInd w:val="0"/>
              <w:jc w:val="both"/>
              <w:rPr>
                <w:rFonts w:ascii="Arial" w:hAnsi="Arial" w:cs="Arial"/>
                <w:b/>
              </w:rPr>
            </w:pPr>
            <w:r w:rsidRPr="008800C4">
              <w:rPr>
                <w:rFonts w:ascii="Arial" w:hAnsi="Arial" w:cs="Arial"/>
                <w:b/>
              </w:rPr>
              <w:t xml:space="preserve">Discharges </w:t>
            </w:r>
            <w:r w:rsidRPr="008800C4">
              <w:rPr>
                <w:rFonts w:ascii="Arial" w:hAnsi="Arial" w:cs="Arial"/>
                <w:b/>
              </w:rPr>
              <w:tab/>
            </w:r>
            <w:r w:rsidRPr="008800C4">
              <w:rPr>
                <w:rFonts w:ascii="Arial" w:hAnsi="Arial" w:cs="Arial"/>
                <w:b/>
              </w:rPr>
              <w:tab/>
            </w:r>
            <w:r w:rsidRPr="008800C4">
              <w:rPr>
                <w:rFonts w:ascii="Arial" w:hAnsi="Arial" w:cs="Arial"/>
                <w:b/>
              </w:rPr>
              <w:tab/>
            </w:r>
            <w:r w:rsidRPr="008800C4">
              <w:rPr>
                <w:rFonts w:ascii="Arial" w:hAnsi="Arial" w:cs="Arial"/>
                <w:b/>
              </w:rPr>
              <w:tab/>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 xml:space="preserve">Medicine 198 </w:t>
            </w:r>
            <w:r w:rsidRPr="008800C4">
              <w:rPr>
                <w:rFonts w:ascii="Arial" w:hAnsi="Arial" w:cs="Arial"/>
              </w:rPr>
              <w:tab/>
            </w:r>
            <w:r w:rsidRPr="008800C4">
              <w:rPr>
                <w:rFonts w:ascii="Arial" w:hAnsi="Arial" w:cs="Arial"/>
              </w:rPr>
              <w:tab/>
            </w:r>
            <w:r w:rsidRPr="008800C4">
              <w:rPr>
                <w:rFonts w:ascii="Arial" w:hAnsi="Arial" w:cs="Arial"/>
              </w:rPr>
              <w:tab/>
            </w:r>
            <w:r w:rsidRPr="008800C4">
              <w:rPr>
                <w:rFonts w:ascii="Arial" w:hAnsi="Arial" w:cs="Arial"/>
              </w:rPr>
              <w:tab/>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 xml:space="preserve">Surgery 152 </w:t>
            </w:r>
            <w:r w:rsidRPr="008800C4">
              <w:rPr>
                <w:rFonts w:ascii="Arial" w:hAnsi="Arial" w:cs="Arial"/>
              </w:rPr>
              <w:tab/>
            </w:r>
            <w:r w:rsidRPr="008800C4">
              <w:rPr>
                <w:rFonts w:ascii="Arial" w:hAnsi="Arial" w:cs="Arial"/>
              </w:rPr>
              <w:tab/>
            </w:r>
            <w:r w:rsidRPr="008800C4">
              <w:rPr>
                <w:rFonts w:ascii="Arial" w:hAnsi="Arial" w:cs="Arial"/>
              </w:rPr>
              <w:tab/>
            </w:r>
            <w:r w:rsidRPr="008800C4">
              <w:rPr>
                <w:rFonts w:ascii="Arial" w:hAnsi="Arial" w:cs="Arial"/>
              </w:rPr>
              <w:tab/>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 xml:space="preserve">Gynecology 74 </w:t>
            </w:r>
            <w:r w:rsidRPr="008800C4">
              <w:rPr>
                <w:rFonts w:ascii="Arial" w:hAnsi="Arial" w:cs="Arial"/>
              </w:rPr>
              <w:tab/>
            </w:r>
            <w:r w:rsidRPr="008800C4">
              <w:rPr>
                <w:rFonts w:ascii="Arial" w:hAnsi="Arial" w:cs="Arial"/>
              </w:rPr>
              <w:tab/>
            </w:r>
            <w:r w:rsidRPr="008800C4">
              <w:rPr>
                <w:rFonts w:ascii="Arial" w:hAnsi="Arial" w:cs="Arial"/>
              </w:rPr>
              <w:tab/>
            </w:r>
            <w:r w:rsidRPr="008800C4">
              <w:rPr>
                <w:rFonts w:ascii="Arial" w:hAnsi="Arial" w:cs="Arial"/>
              </w:rPr>
              <w:tab/>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 xml:space="preserve">Otolaryngology 48 </w:t>
            </w:r>
            <w:r w:rsidRPr="008800C4">
              <w:rPr>
                <w:rFonts w:ascii="Arial" w:hAnsi="Arial" w:cs="Arial"/>
              </w:rPr>
              <w:tab/>
            </w:r>
            <w:r w:rsidRPr="008800C4">
              <w:rPr>
                <w:rFonts w:ascii="Arial" w:hAnsi="Arial" w:cs="Arial"/>
              </w:rPr>
              <w:tab/>
            </w:r>
            <w:r w:rsidRPr="008800C4">
              <w:rPr>
                <w:rFonts w:ascii="Arial" w:hAnsi="Arial" w:cs="Arial"/>
              </w:rPr>
              <w:tab/>
            </w:r>
          </w:p>
          <w:p w:rsidR="00DB3A08" w:rsidRPr="008800C4" w:rsidRDefault="00DB3A08" w:rsidP="008800C4">
            <w:pPr>
              <w:autoSpaceDE w:val="0"/>
              <w:autoSpaceDN w:val="0"/>
              <w:adjustRightInd w:val="0"/>
              <w:jc w:val="both"/>
              <w:rPr>
                <w:rFonts w:ascii="Arial" w:hAnsi="Arial" w:cs="Arial"/>
              </w:rPr>
            </w:pPr>
          </w:p>
          <w:p w:rsidR="00DB3A08" w:rsidRPr="008800C4" w:rsidRDefault="00DB3A08" w:rsidP="008800C4">
            <w:pPr>
              <w:autoSpaceDE w:val="0"/>
              <w:autoSpaceDN w:val="0"/>
              <w:adjustRightInd w:val="0"/>
              <w:jc w:val="both"/>
              <w:rPr>
                <w:rFonts w:ascii="Arial" w:hAnsi="Arial" w:cs="Arial"/>
                <w:b/>
              </w:rPr>
            </w:pPr>
            <w:r w:rsidRPr="008800C4">
              <w:rPr>
                <w:rFonts w:ascii="Arial" w:hAnsi="Arial" w:cs="Arial"/>
                <w:b/>
              </w:rPr>
              <w:t>Discharge Service Days</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Medicine 1,313</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Surgery 947</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lastRenderedPageBreak/>
              <w:t>Gynecology 328</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Otolaryngology 290</w:t>
            </w:r>
          </w:p>
          <w:p w:rsidR="00DB3A08" w:rsidRPr="008800C4" w:rsidRDefault="00DB3A08" w:rsidP="008800C4">
            <w:pPr>
              <w:autoSpaceDE w:val="0"/>
              <w:autoSpaceDN w:val="0"/>
              <w:adjustRightInd w:val="0"/>
              <w:jc w:val="both"/>
              <w:rPr>
                <w:rFonts w:ascii="Arial" w:hAnsi="Arial" w:cs="Arial"/>
              </w:rPr>
            </w:pPr>
          </w:p>
          <w:p w:rsidR="00DB3A08" w:rsidRPr="008800C4" w:rsidRDefault="00DB3A08" w:rsidP="008800C4">
            <w:pPr>
              <w:autoSpaceDE w:val="0"/>
              <w:autoSpaceDN w:val="0"/>
              <w:adjustRightInd w:val="0"/>
              <w:jc w:val="both"/>
              <w:rPr>
                <w:rFonts w:ascii="Arial" w:hAnsi="Arial" w:cs="Arial"/>
                <w:b/>
              </w:rPr>
            </w:pPr>
            <w:r w:rsidRPr="008800C4">
              <w:rPr>
                <w:rFonts w:ascii="Arial" w:hAnsi="Arial" w:cs="Arial"/>
                <w:b/>
              </w:rPr>
              <w:t>Average Length of Stay</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Medicine 6.6</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Surgery 6.2</w:t>
            </w:r>
          </w:p>
          <w:p w:rsidR="00DB3A08" w:rsidRPr="008800C4" w:rsidRDefault="00DB3A08" w:rsidP="008800C4">
            <w:pPr>
              <w:autoSpaceDE w:val="0"/>
              <w:autoSpaceDN w:val="0"/>
              <w:adjustRightInd w:val="0"/>
              <w:ind w:left="720"/>
              <w:jc w:val="both"/>
              <w:rPr>
                <w:rFonts w:ascii="Arial" w:hAnsi="Arial" w:cs="Arial"/>
              </w:rPr>
            </w:pPr>
            <w:r w:rsidRPr="008800C4">
              <w:rPr>
                <w:rFonts w:ascii="Arial" w:hAnsi="Arial" w:cs="Arial"/>
              </w:rPr>
              <w:t>Gynecology 4.4</w:t>
            </w:r>
          </w:p>
          <w:p w:rsidR="00DB3A08" w:rsidRPr="008800C4" w:rsidRDefault="00DB3A08" w:rsidP="008800C4">
            <w:pPr>
              <w:ind w:left="720"/>
              <w:jc w:val="both"/>
              <w:rPr>
                <w:rFonts w:ascii="Arial" w:hAnsi="Arial" w:cs="Arial"/>
              </w:rPr>
            </w:pPr>
            <w:r w:rsidRPr="008800C4">
              <w:rPr>
                <w:rFonts w:ascii="Arial" w:hAnsi="Arial" w:cs="Arial"/>
              </w:rPr>
              <w:t>Otolaryngology 6.0</w:t>
            </w:r>
          </w:p>
          <w:p w:rsidR="00D14B39" w:rsidRPr="008800C4" w:rsidRDefault="00D14B39" w:rsidP="008800C4">
            <w:pPr>
              <w:autoSpaceDE w:val="0"/>
              <w:autoSpaceDN w:val="0"/>
              <w:adjustRightInd w:val="0"/>
              <w:jc w:val="both"/>
              <w:rPr>
                <w:rFonts w:ascii="Arial" w:hAnsi="Arial" w:cs="Arial"/>
                <w:lang w:eastAsia="en-GB"/>
              </w:rPr>
            </w:pPr>
          </w:p>
        </w:tc>
        <w:tc>
          <w:tcPr>
            <w:tcW w:w="1410" w:type="dxa"/>
          </w:tcPr>
          <w:p w:rsidR="00D14B39" w:rsidRPr="008800C4" w:rsidRDefault="00A81845" w:rsidP="00D14B39">
            <w:pPr>
              <w:rPr>
                <w:rFonts w:ascii="Arial" w:hAnsi="Arial" w:cs="Arial"/>
              </w:rPr>
            </w:pPr>
            <w:r w:rsidRPr="008800C4">
              <w:rPr>
                <w:rFonts w:ascii="Arial" w:hAnsi="Arial" w:cs="Arial"/>
              </w:rPr>
              <w:lastRenderedPageBreak/>
              <w:t>20</w:t>
            </w:r>
            <w:r w:rsidR="00D14B39" w:rsidRPr="008800C4">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5</w:t>
            </w:r>
          </w:p>
        </w:tc>
        <w:tc>
          <w:tcPr>
            <w:tcW w:w="7480" w:type="dxa"/>
          </w:tcPr>
          <w:p w:rsidR="00D14B39"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Differentiate between the following aspects of validity: content,</w:t>
            </w:r>
            <w:r w:rsidR="008800C4">
              <w:rPr>
                <w:rFonts w:ascii="Arial" w:hAnsi="Arial" w:cs="Arial"/>
                <w:lang w:eastAsia="en-GB"/>
              </w:rPr>
              <w:t xml:space="preserve"> </w:t>
            </w:r>
            <w:r w:rsidRPr="008800C4">
              <w:rPr>
                <w:rFonts w:ascii="Arial" w:hAnsi="Arial" w:cs="Arial"/>
                <w:lang w:eastAsia="en-GB"/>
              </w:rPr>
              <w:t>construct, and criterion related.</w:t>
            </w:r>
          </w:p>
        </w:tc>
        <w:tc>
          <w:tcPr>
            <w:tcW w:w="1410" w:type="dxa"/>
          </w:tcPr>
          <w:p w:rsidR="00D14B39" w:rsidRPr="008800C4" w:rsidRDefault="008800C4" w:rsidP="00B35B51">
            <w:pPr>
              <w:rPr>
                <w:rFonts w:ascii="Arial" w:hAnsi="Arial" w:cs="Arial"/>
              </w:rPr>
            </w:pPr>
            <w:r>
              <w:rPr>
                <w:rFonts w:ascii="Arial" w:hAnsi="Arial" w:cs="Arial"/>
              </w:rPr>
              <w:t>5</w:t>
            </w:r>
            <w:r w:rsidR="00D14B39"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6</w:t>
            </w:r>
          </w:p>
        </w:tc>
        <w:tc>
          <w:tcPr>
            <w:tcW w:w="7480" w:type="dxa"/>
          </w:tcPr>
          <w:p w:rsidR="00DB3A08"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Compare and contrast the following scales of measurement: nominal,</w:t>
            </w:r>
            <w:r w:rsidR="008800C4">
              <w:rPr>
                <w:rFonts w:ascii="Arial" w:hAnsi="Arial" w:cs="Arial"/>
                <w:lang w:eastAsia="en-GB"/>
              </w:rPr>
              <w:t xml:space="preserve"> </w:t>
            </w:r>
            <w:r w:rsidRPr="008800C4">
              <w:rPr>
                <w:rFonts w:ascii="Arial" w:hAnsi="Arial" w:cs="Arial"/>
                <w:lang w:eastAsia="en-GB"/>
              </w:rPr>
              <w:t>ordinal, ratio, and interval.</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7</w:t>
            </w:r>
          </w:p>
        </w:tc>
        <w:tc>
          <w:tcPr>
            <w:tcW w:w="7480" w:type="dxa"/>
          </w:tcPr>
          <w:p w:rsidR="00DB3A08"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Why do measures of central tendency and variation of ungrouped frequency distributions</w:t>
            </w:r>
            <w:r w:rsidR="008800C4">
              <w:rPr>
                <w:rFonts w:ascii="Arial" w:hAnsi="Arial" w:cs="Arial"/>
                <w:lang w:eastAsia="en-GB"/>
              </w:rPr>
              <w:t xml:space="preserve"> </w:t>
            </w:r>
            <w:r w:rsidRPr="008800C4">
              <w:rPr>
                <w:rFonts w:ascii="Arial" w:hAnsi="Arial" w:cs="Arial"/>
                <w:lang w:eastAsia="en-GB"/>
              </w:rPr>
              <w:t>differ from those of grouped frequency distributions?</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8</w:t>
            </w:r>
          </w:p>
        </w:tc>
        <w:tc>
          <w:tcPr>
            <w:tcW w:w="7480" w:type="dxa"/>
          </w:tcPr>
          <w:p w:rsidR="00DB3A08"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Explain how sample size and variation affect the standard error of</w:t>
            </w:r>
            <w:r w:rsidR="008800C4">
              <w:rPr>
                <w:rFonts w:ascii="Arial" w:hAnsi="Arial" w:cs="Arial"/>
                <w:lang w:eastAsia="en-GB"/>
              </w:rPr>
              <w:t xml:space="preserve"> </w:t>
            </w:r>
            <w:r w:rsidRPr="008800C4">
              <w:rPr>
                <w:rFonts w:ascii="Arial" w:hAnsi="Arial" w:cs="Arial"/>
                <w:lang w:eastAsia="en-GB"/>
              </w:rPr>
              <w:t>the mean.</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9</w:t>
            </w:r>
          </w:p>
        </w:tc>
        <w:tc>
          <w:tcPr>
            <w:tcW w:w="7480" w:type="dxa"/>
          </w:tcPr>
          <w:p w:rsidR="00DB3A08"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Relate the concept of statistical power to beta error and sample size.</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10</w:t>
            </w:r>
          </w:p>
        </w:tc>
        <w:tc>
          <w:tcPr>
            <w:tcW w:w="7480" w:type="dxa"/>
          </w:tcPr>
          <w:p w:rsidR="00DB3A08"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Differentiate between simple regression and multiple regression.</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11</w:t>
            </w:r>
          </w:p>
        </w:tc>
        <w:tc>
          <w:tcPr>
            <w:tcW w:w="7480" w:type="dxa"/>
          </w:tcPr>
          <w:p w:rsidR="00DB3A08" w:rsidRPr="008800C4" w:rsidRDefault="00DB3A08" w:rsidP="008800C4">
            <w:pPr>
              <w:autoSpaceDE w:val="0"/>
              <w:autoSpaceDN w:val="0"/>
              <w:adjustRightInd w:val="0"/>
              <w:jc w:val="both"/>
              <w:rPr>
                <w:rFonts w:ascii="Arial" w:hAnsi="Arial" w:cs="Arial"/>
                <w:lang w:eastAsia="en-GB"/>
              </w:rPr>
            </w:pPr>
            <w:r w:rsidRPr="008800C4">
              <w:rPr>
                <w:rFonts w:ascii="Arial" w:hAnsi="Arial" w:cs="Arial"/>
                <w:lang w:eastAsia="en-GB"/>
              </w:rPr>
              <w:t>Differentiate between parametric and nonparametric statistical procedures.</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12</w:t>
            </w:r>
          </w:p>
        </w:tc>
        <w:tc>
          <w:tcPr>
            <w:tcW w:w="7480" w:type="dxa"/>
          </w:tcPr>
          <w:p w:rsidR="00DB3A08" w:rsidRPr="008800C4" w:rsidRDefault="00CF5E24" w:rsidP="008800C4">
            <w:pPr>
              <w:autoSpaceDE w:val="0"/>
              <w:autoSpaceDN w:val="0"/>
              <w:adjustRightInd w:val="0"/>
              <w:jc w:val="both"/>
              <w:rPr>
                <w:rFonts w:ascii="Arial" w:hAnsi="Arial" w:cs="Arial"/>
                <w:lang w:eastAsia="en-GB"/>
              </w:rPr>
            </w:pPr>
            <w:r w:rsidRPr="008800C4">
              <w:rPr>
                <w:rFonts w:ascii="Arial" w:hAnsi="Arial" w:cs="Arial"/>
                <w:lang w:eastAsia="en-GB"/>
              </w:rPr>
              <w:t>Describe the circumstances under which it would be appropriate to use the chi-square</w:t>
            </w:r>
            <w:r w:rsidR="008800C4">
              <w:rPr>
                <w:rFonts w:ascii="Arial" w:hAnsi="Arial" w:cs="Arial"/>
                <w:lang w:eastAsia="en-GB"/>
              </w:rPr>
              <w:t xml:space="preserve"> </w:t>
            </w:r>
            <w:r w:rsidRPr="008800C4">
              <w:rPr>
                <w:rFonts w:ascii="Arial" w:hAnsi="Arial" w:cs="Arial"/>
                <w:lang w:eastAsia="en-GB"/>
              </w:rPr>
              <w:t>test.</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13</w:t>
            </w:r>
          </w:p>
        </w:tc>
        <w:tc>
          <w:tcPr>
            <w:tcW w:w="7480" w:type="dxa"/>
          </w:tcPr>
          <w:p w:rsidR="00CF5E24" w:rsidRPr="008800C4" w:rsidRDefault="00CF5E24" w:rsidP="008800C4">
            <w:pPr>
              <w:autoSpaceDE w:val="0"/>
              <w:autoSpaceDN w:val="0"/>
              <w:adjustRightInd w:val="0"/>
              <w:jc w:val="both"/>
              <w:rPr>
                <w:rFonts w:ascii="Arial" w:hAnsi="Arial" w:cs="Arial"/>
                <w:lang w:eastAsia="en-GB"/>
              </w:rPr>
            </w:pPr>
            <w:r w:rsidRPr="008800C4">
              <w:rPr>
                <w:rFonts w:ascii="Arial" w:hAnsi="Arial" w:cs="Arial"/>
                <w:lang w:eastAsia="en-GB"/>
              </w:rPr>
              <w:t xml:space="preserve">Distinguish between the Pearson </w:t>
            </w:r>
            <w:r w:rsidRPr="008800C4">
              <w:rPr>
                <w:rFonts w:ascii="Arial" w:hAnsi="Arial" w:cs="Arial"/>
                <w:i/>
                <w:iCs/>
                <w:lang w:eastAsia="en-GB"/>
              </w:rPr>
              <w:t xml:space="preserve">r </w:t>
            </w:r>
            <w:r w:rsidRPr="008800C4">
              <w:rPr>
                <w:rFonts w:ascii="Arial" w:hAnsi="Arial" w:cs="Arial"/>
                <w:lang w:eastAsia="en-GB"/>
              </w:rPr>
              <w:t>correlation coefficient and the</w:t>
            </w:r>
          </w:p>
          <w:p w:rsidR="00DB3A08" w:rsidRPr="008800C4" w:rsidRDefault="00CF5E24" w:rsidP="008800C4">
            <w:pPr>
              <w:autoSpaceDE w:val="0"/>
              <w:autoSpaceDN w:val="0"/>
              <w:adjustRightInd w:val="0"/>
              <w:jc w:val="both"/>
              <w:rPr>
                <w:rFonts w:ascii="Arial" w:hAnsi="Arial" w:cs="Arial"/>
                <w:lang w:eastAsia="en-GB"/>
              </w:rPr>
            </w:pPr>
            <w:r w:rsidRPr="008800C4">
              <w:rPr>
                <w:rFonts w:ascii="Arial" w:hAnsi="Arial" w:cs="Arial"/>
                <w:lang w:eastAsia="en-GB"/>
              </w:rPr>
              <w:t>Spearman rho correlation coefficient.</w:t>
            </w:r>
          </w:p>
        </w:tc>
        <w:tc>
          <w:tcPr>
            <w:tcW w:w="1410" w:type="dxa"/>
          </w:tcPr>
          <w:p w:rsidR="00DB3A08" w:rsidRPr="008800C4" w:rsidRDefault="008800C4" w:rsidP="00B35B51">
            <w:pPr>
              <w:rPr>
                <w:rFonts w:ascii="Arial" w:hAnsi="Arial" w:cs="Arial"/>
              </w:rPr>
            </w:pPr>
            <w:r>
              <w:rPr>
                <w:rFonts w:ascii="Arial" w:hAnsi="Arial" w:cs="Arial"/>
              </w:rPr>
              <w:t>5</w:t>
            </w:r>
            <w:r w:rsidRPr="008800C4">
              <w:rPr>
                <w:rFonts w:ascii="Arial" w:hAnsi="Arial" w:cs="Arial"/>
              </w:rPr>
              <w:t xml:space="preserve"> marks</w:t>
            </w:r>
            <w:bookmarkStart w:id="1" w:name="_GoBack"/>
            <w:bookmarkEnd w:id="1"/>
          </w:p>
        </w:tc>
      </w:tr>
      <w:tr w:rsidR="008A4361" w:rsidRPr="008800C4" w:rsidTr="008A4361">
        <w:trPr>
          <w:trHeight w:val="70"/>
        </w:trPr>
        <w:tc>
          <w:tcPr>
            <w:tcW w:w="603" w:type="dxa"/>
          </w:tcPr>
          <w:p w:rsidR="008A4361" w:rsidRPr="008800C4" w:rsidRDefault="008A4361" w:rsidP="001A2D8A">
            <w:pPr>
              <w:jc w:val="center"/>
              <w:rPr>
                <w:rFonts w:ascii="Arial" w:hAnsi="Arial" w:cs="Arial"/>
                <w:b/>
              </w:rPr>
            </w:pPr>
          </w:p>
        </w:tc>
        <w:tc>
          <w:tcPr>
            <w:tcW w:w="7480" w:type="dxa"/>
          </w:tcPr>
          <w:p w:rsidR="008A4361" w:rsidRPr="008800C4" w:rsidRDefault="008A4361" w:rsidP="008A4361">
            <w:pPr>
              <w:jc w:val="right"/>
              <w:rPr>
                <w:rFonts w:ascii="Arial" w:hAnsi="Arial" w:cs="Arial"/>
                <w:b/>
                <w:bCs/>
              </w:rPr>
            </w:pPr>
            <w:r w:rsidRPr="008800C4">
              <w:rPr>
                <w:rFonts w:ascii="Arial" w:hAnsi="Arial" w:cs="Arial"/>
                <w:b/>
                <w:bCs/>
              </w:rPr>
              <w:t>TOTAL</w:t>
            </w:r>
          </w:p>
        </w:tc>
        <w:tc>
          <w:tcPr>
            <w:tcW w:w="1410" w:type="dxa"/>
          </w:tcPr>
          <w:p w:rsidR="008A4361" w:rsidRPr="008800C4" w:rsidRDefault="008A4361" w:rsidP="008A4361">
            <w:pPr>
              <w:jc w:val="both"/>
              <w:rPr>
                <w:rFonts w:ascii="Arial" w:hAnsi="Arial" w:cs="Arial"/>
                <w:b/>
              </w:rPr>
            </w:pPr>
            <w:r w:rsidRPr="008800C4">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99E" w:rsidRDefault="00A4199E">
      <w:r>
        <w:separator/>
      </w:r>
    </w:p>
  </w:endnote>
  <w:endnote w:type="continuationSeparator" w:id="0">
    <w:p w:rsidR="00A4199E" w:rsidRDefault="00A4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8800C4">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99E" w:rsidRDefault="00A4199E">
      <w:r>
        <w:separator/>
      </w:r>
    </w:p>
  </w:footnote>
  <w:footnote w:type="continuationSeparator" w:id="0">
    <w:p w:rsidR="00A4199E" w:rsidRDefault="00A41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52E"/>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6F1E90"/>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2913"/>
    <w:rsid w:val="00855276"/>
    <w:rsid w:val="0086401E"/>
    <w:rsid w:val="00874908"/>
    <w:rsid w:val="008800C4"/>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4199E"/>
    <w:rsid w:val="00A43875"/>
    <w:rsid w:val="00A5099A"/>
    <w:rsid w:val="00A51800"/>
    <w:rsid w:val="00A52229"/>
    <w:rsid w:val="00A5325B"/>
    <w:rsid w:val="00A62F82"/>
    <w:rsid w:val="00A64686"/>
    <w:rsid w:val="00A81845"/>
    <w:rsid w:val="00A81F97"/>
    <w:rsid w:val="00A92E9F"/>
    <w:rsid w:val="00A93BFB"/>
    <w:rsid w:val="00AA42B6"/>
    <w:rsid w:val="00AB5E8C"/>
    <w:rsid w:val="00AB7AD2"/>
    <w:rsid w:val="00AC1F3E"/>
    <w:rsid w:val="00AD646B"/>
    <w:rsid w:val="00B03707"/>
    <w:rsid w:val="00B2791D"/>
    <w:rsid w:val="00B33C60"/>
    <w:rsid w:val="00B342E3"/>
    <w:rsid w:val="00B35B51"/>
    <w:rsid w:val="00B3778D"/>
    <w:rsid w:val="00B511C4"/>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20A5"/>
    <w:rsid w:val="00C96335"/>
    <w:rsid w:val="00CA7C3A"/>
    <w:rsid w:val="00CB0898"/>
    <w:rsid w:val="00CB0E3D"/>
    <w:rsid w:val="00CB7E74"/>
    <w:rsid w:val="00CC5E28"/>
    <w:rsid w:val="00CD670D"/>
    <w:rsid w:val="00CD749E"/>
    <w:rsid w:val="00CE0FF9"/>
    <w:rsid w:val="00CE52DB"/>
    <w:rsid w:val="00CF1001"/>
    <w:rsid w:val="00CF5E24"/>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3A08"/>
    <w:rsid w:val="00DB5B11"/>
    <w:rsid w:val="00DC12CD"/>
    <w:rsid w:val="00DD5358"/>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A6E8C9"/>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2952</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37</cp:revision>
  <cp:lastPrinted>2011-10-02T05:53:00Z</cp:lastPrinted>
  <dcterms:created xsi:type="dcterms:W3CDTF">2017-08-28T05:22:00Z</dcterms:created>
  <dcterms:modified xsi:type="dcterms:W3CDTF">2018-10-26T17:01:00Z</dcterms:modified>
</cp:coreProperties>
</file>