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E75" w:rsidRDefault="001E0E75" w:rsidP="00C344A7">
      <w:pPr>
        <w:jc w:val="center"/>
        <w:rPr>
          <w:rFonts w:asciiTheme="minorBidi" w:hAnsiTheme="minorBidi" w:cstheme="minorBidi"/>
          <w:b/>
          <w:bCs/>
          <w:sz w:val="32"/>
          <w:szCs w:val="32"/>
          <w:u w:val="single"/>
          <w:lang w:val="en-GB" w:eastAsia="en-GB"/>
        </w:rPr>
      </w:pPr>
      <w:bookmarkStart w:id="0" w:name="_Hlk491591419"/>
      <w:r w:rsidRPr="001E0E75">
        <w:rPr>
          <w:rFonts w:asciiTheme="minorBidi" w:hAnsiTheme="minorBidi" w:cstheme="minorBidi"/>
          <w:b/>
          <w:bCs/>
          <w:sz w:val="32"/>
          <w:szCs w:val="32"/>
          <w:u w:val="single"/>
          <w:lang w:val="en-GB" w:eastAsia="en-GB"/>
        </w:rPr>
        <w:t>Machine Learning for Health Informatics</w:t>
      </w:r>
    </w:p>
    <w:p w:rsidR="00C344A7" w:rsidRDefault="00CD63A8" w:rsidP="00C344A7">
      <w:pPr>
        <w:jc w:val="center"/>
        <w:rPr>
          <w:rFonts w:asciiTheme="minorBidi" w:hAnsiTheme="minorBidi" w:cstheme="minorBidi"/>
          <w:b/>
          <w:sz w:val="28"/>
          <w:szCs w:val="28"/>
        </w:rPr>
      </w:pPr>
      <w:r w:rsidRPr="00CD63A8">
        <w:rPr>
          <w:rFonts w:asciiTheme="minorBidi" w:hAnsiTheme="minorBidi" w:cstheme="minorBidi"/>
          <w:b/>
          <w:bCs/>
          <w:sz w:val="32"/>
          <w:szCs w:val="32"/>
          <w:lang w:val="en-GB" w:eastAsia="en-GB"/>
        </w:rPr>
        <w:t>W</w:t>
      </w:r>
      <w:r w:rsidR="00B6280F" w:rsidRPr="005004B0">
        <w:rPr>
          <w:rFonts w:asciiTheme="minorBidi" w:hAnsiTheme="minorBidi" w:cstheme="minorBidi"/>
          <w:b/>
          <w:sz w:val="28"/>
          <w:szCs w:val="28"/>
        </w:rPr>
        <w:t xml:space="preserve">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1E0E75" w:rsidRPr="001E0E75">
        <w:rPr>
          <w:rStyle w:val="fs13"/>
          <w:rFonts w:ascii="Arial" w:hAnsi="Arial" w:cs="Arial"/>
          <w:b/>
          <w:u w:val="single"/>
          <w:lang w:val="en-GB"/>
        </w:rPr>
        <w:t>Machine Learning for Health Informatics</w:t>
      </w:r>
      <w:r w:rsidR="00CD63A8">
        <w:rPr>
          <w:rStyle w:val="fs13"/>
          <w:rFonts w:ascii="Arial" w:hAnsi="Arial" w:cs="Arial"/>
          <w:b/>
          <w:lang w:val="en-GB"/>
        </w:rPr>
        <w:t xml:space="preserve">. </w:t>
      </w:r>
      <w:r w:rsidR="00E13F61" w:rsidRPr="00CD63A8">
        <w:rPr>
          <w:rStyle w:val="fs13"/>
          <w:rFonts w:ascii="Arial" w:hAnsi="Arial" w:cs="Arial"/>
          <w:lang w:val="en-GB"/>
        </w:rPr>
        <w:t>A</w:t>
      </w:r>
      <w:r w:rsidRPr="00CD63A8">
        <w:rPr>
          <w:rStyle w:val="fs13"/>
          <w:rFonts w:ascii="Arial" w:hAnsi="Arial" w:cs="Arial"/>
          <w:lang w:val="en-GB"/>
        </w:rPr>
        <w:t>ttached</w:t>
      </w:r>
      <w:r w:rsidRPr="00711D22">
        <w:rPr>
          <w:rStyle w:val="fs13"/>
          <w:rFonts w:ascii="Arial" w:hAnsi="Arial" w:cs="Arial"/>
          <w:lang w:val="en-GB"/>
        </w:rPr>
        <w:t xml:space="preserve">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8800C4" w:rsidTr="008A4361">
        <w:tc>
          <w:tcPr>
            <w:tcW w:w="603" w:type="dxa"/>
          </w:tcPr>
          <w:p w:rsidR="005004B0" w:rsidRPr="008800C4" w:rsidRDefault="005004B0" w:rsidP="001A2D8A">
            <w:pPr>
              <w:jc w:val="center"/>
              <w:rPr>
                <w:rFonts w:ascii="Arial" w:hAnsi="Arial" w:cs="Arial"/>
                <w:b/>
                <w:bCs/>
              </w:rPr>
            </w:pPr>
            <w:r w:rsidRPr="008800C4">
              <w:rPr>
                <w:rFonts w:ascii="Arial" w:hAnsi="Arial" w:cs="Arial"/>
                <w:b/>
                <w:bCs/>
              </w:rPr>
              <w:t>No.</w:t>
            </w:r>
          </w:p>
        </w:tc>
        <w:tc>
          <w:tcPr>
            <w:tcW w:w="7480" w:type="dxa"/>
          </w:tcPr>
          <w:p w:rsidR="005004B0" w:rsidRPr="008800C4" w:rsidRDefault="005004B0" w:rsidP="00711D22">
            <w:pPr>
              <w:jc w:val="center"/>
              <w:rPr>
                <w:rFonts w:ascii="Arial" w:hAnsi="Arial" w:cs="Arial"/>
                <w:b/>
                <w:bCs/>
              </w:rPr>
            </w:pPr>
            <w:r w:rsidRPr="008800C4">
              <w:rPr>
                <w:rFonts w:ascii="Arial" w:hAnsi="Arial" w:cs="Arial"/>
                <w:b/>
                <w:bCs/>
              </w:rPr>
              <w:t>QUESTIONS</w:t>
            </w:r>
          </w:p>
        </w:tc>
        <w:tc>
          <w:tcPr>
            <w:tcW w:w="1410" w:type="dxa"/>
          </w:tcPr>
          <w:p w:rsidR="005004B0" w:rsidRPr="008800C4" w:rsidRDefault="005004B0" w:rsidP="005004B0">
            <w:pPr>
              <w:jc w:val="center"/>
              <w:rPr>
                <w:rFonts w:ascii="Arial" w:hAnsi="Arial" w:cs="Arial"/>
                <w:b/>
                <w:bCs/>
              </w:rPr>
            </w:pPr>
            <w:r w:rsidRPr="008800C4">
              <w:rPr>
                <w:rFonts w:ascii="Arial" w:hAnsi="Arial" w:cs="Arial"/>
                <w:b/>
                <w:bCs/>
              </w:rPr>
              <w:t>MARK</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1</w:t>
            </w:r>
          </w:p>
        </w:tc>
        <w:tc>
          <w:tcPr>
            <w:tcW w:w="7480" w:type="dxa"/>
          </w:tcPr>
          <w:p w:rsidR="004C7D34" w:rsidRPr="00276000" w:rsidRDefault="00276000" w:rsidP="00276000">
            <w:pPr>
              <w:autoSpaceDE w:val="0"/>
              <w:autoSpaceDN w:val="0"/>
              <w:adjustRightInd w:val="0"/>
              <w:jc w:val="both"/>
              <w:rPr>
                <w:rFonts w:ascii="Arial" w:hAnsi="Arial" w:cs="Arial"/>
                <w:sz w:val="28"/>
                <w:szCs w:val="28"/>
                <w:lang w:eastAsia="en-GB"/>
              </w:rPr>
            </w:pPr>
            <w:r w:rsidRPr="00276000">
              <w:rPr>
                <w:rFonts w:ascii="Arial" w:hAnsi="Arial" w:cs="Arial"/>
                <w:bCs/>
                <w:sz w:val="28"/>
                <w:szCs w:val="28"/>
                <w:lang w:eastAsia="en-GB"/>
              </w:rPr>
              <w:t xml:space="preserve">Make a critical review on </w:t>
            </w:r>
            <w:r w:rsidRPr="00276000">
              <w:rPr>
                <w:rFonts w:ascii="Arial" w:hAnsi="Arial" w:cs="Arial"/>
                <w:bCs/>
                <w:i/>
                <w:sz w:val="28"/>
                <w:szCs w:val="28"/>
                <w:lang w:eastAsia="en-GB"/>
              </w:rPr>
              <w:t>“</w:t>
            </w:r>
            <w:r w:rsidRPr="00276000">
              <w:rPr>
                <w:rFonts w:ascii="Arial" w:hAnsi="Arial" w:cs="Arial"/>
                <w:bCs/>
                <w:i/>
                <w:sz w:val="28"/>
                <w:szCs w:val="28"/>
                <w:lang w:eastAsia="en-GB"/>
              </w:rPr>
              <w:t>Machine Learning for Health Informatics</w:t>
            </w:r>
            <w:r w:rsidR="003930F8" w:rsidRPr="00276000">
              <w:rPr>
                <w:rFonts w:ascii="Arial" w:hAnsi="Arial" w:cs="Arial"/>
                <w:bCs/>
                <w:i/>
                <w:sz w:val="28"/>
                <w:szCs w:val="28"/>
                <w:lang w:eastAsia="en-GB"/>
              </w:rPr>
              <w:t>”.</w:t>
            </w:r>
          </w:p>
        </w:tc>
        <w:tc>
          <w:tcPr>
            <w:tcW w:w="1410" w:type="dxa"/>
          </w:tcPr>
          <w:p w:rsidR="005004B0" w:rsidRPr="008800C4" w:rsidRDefault="003930F8" w:rsidP="001A2D8A">
            <w:pPr>
              <w:jc w:val="both"/>
              <w:rPr>
                <w:rFonts w:ascii="Arial" w:hAnsi="Arial" w:cs="Arial"/>
              </w:rPr>
            </w:pPr>
            <w:r>
              <w:rPr>
                <w:rFonts w:ascii="Arial" w:hAnsi="Arial" w:cs="Arial"/>
              </w:rPr>
              <w:t>25</w:t>
            </w:r>
            <w:r w:rsidR="008A4361" w:rsidRPr="008800C4">
              <w:rPr>
                <w:rFonts w:ascii="Arial" w:hAnsi="Arial" w:cs="Arial"/>
              </w:rPr>
              <w:t xml:space="preserve"> marks</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2</w:t>
            </w:r>
          </w:p>
        </w:tc>
        <w:tc>
          <w:tcPr>
            <w:tcW w:w="7480" w:type="dxa"/>
          </w:tcPr>
          <w:p w:rsidR="008A4361" w:rsidRPr="00276000" w:rsidRDefault="003930F8" w:rsidP="00276000">
            <w:pPr>
              <w:autoSpaceDE w:val="0"/>
              <w:autoSpaceDN w:val="0"/>
              <w:adjustRightInd w:val="0"/>
              <w:jc w:val="both"/>
              <w:rPr>
                <w:rFonts w:ascii="Arial" w:hAnsi="Arial" w:cs="Arial"/>
                <w:bCs/>
                <w:i/>
                <w:color w:val="231F20"/>
                <w:sz w:val="28"/>
                <w:szCs w:val="28"/>
                <w:lang w:eastAsia="en-GB"/>
              </w:rPr>
            </w:pPr>
            <w:r w:rsidRPr="00276000">
              <w:rPr>
                <w:rFonts w:ascii="Arial" w:hAnsi="Arial" w:cs="Arial"/>
                <w:bCs/>
                <w:sz w:val="28"/>
                <w:szCs w:val="28"/>
                <w:lang w:eastAsia="en-GB"/>
              </w:rPr>
              <w:t>Review</w:t>
            </w:r>
            <w:r w:rsidRPr="00276000">
              <w:rPr>
                <w:rFonts w:ascii="Arial" w:hAnsi="Arial" w:cs="Arial"/>
                <w:bCs/>
                <w:i/>
                <w:sz w:val="28"/>
                <w:szCs w:val="28"/>
                <w:lang w:eastAsia="en-GB"/>
              </w:rPr>
              <w:t xml:space="preserve">  “</w:t>
            </w:r>
            <w:r w:rsidR="00276000" w:rsidRPr="00276000">
              <w:rPr>
                <w:rFonts w:ascii="Arial" w:hAnsi="Arial" w:cs="Arial"/>
                <w:bCs/>
                <w:i/>
                <w:sz w:val="28"/>
                <w:szCs w:val="28"/>
                <w:lang w:eastAsia="en-GB"/>
              </w:rPr>
              <w:t>Empowering Bridging Term Discovery</w:t>
            </w:r>
            <w:r w:rsidR="00276000" w:rsidRPr="00276000">
              <w:rPr>
                <w:rFonts w:ascii="Arial" w:hAnsi="Arial" w:cs="Arial"/>
                <w:bCs/>
                <w:i/>
                <w:sz w:val="28"/>
                <w:szCs w:val="28"/>
                <w:lang w:eastAsia="en-GB"/>
              </w:rPr>
              <w:t xml:space="preserve"> </w:t>
            </w:r>
            <w:r w:rsidR="00276000" w:rsidRPr="00276000">
              <w:rPr>
                <w:rFonts w:ascii="Arial" w:hAnsi="Arial" w:cs="Arial"/>
                <w:bCs/>
                <w:i/>
                <w:sz w:val="28"/>
                <w:szCs w:val="28"/>
                <w:lang w:eastAsia="en-GB"/>
              </w:rPr>
              <w:t>for Cross-Domain Literature Mining</w:t>
            </w:r>
            <w:r w:rsidR="00276000" w:rsidRPr="00276000">
              <w:rPr>
                <w:rFonts w:ascii="Arial" w:hAnsi="Arial" w:cs="Arial"/>
                <w:bCs/>
                <w:i/>
                <w:sz w:val="28"/>
                <w:szCs w:val="28"/>
                <w:lang w:eastAsia="en-GB"/>
              </w:rPr>
              <w:t xml:space="preserve"> </w:t>
            </w:r>
            <w:r w:rsidR="00276000" w:rsidRPr="00276000">
              <w:rPr>
                <w:rFonts w:ascii="Arial" w:hAnsi="Arial" w:cs="Arial"/>
                <w:bCs/>
                <w:i/>
                <w:sz w:val="28"/>
                <w:szCs w:val="28"/>
                <w:lang w:eastAsia="en-GB"/>
              </w:rPr>
              <w:t>in the TextFlows Platform</w:t>
            </w:r>
            <w:r w:rsidRPr="00276000">
              <w:rPr>
                <w:rFonts w:ascii="Arial" w:hAnsi="Arial" w:cs="Arial"/>
                <w:bCs/>
                <w:i/>
                <w:sz w:val="28"/>
                <w:szCs w:val="28"/>
                <w:lang w:eastAsia="en-GB"/>
              </w:rPr>
              <w:t>”</w:t>
            </w:r>
          </w:p>
        </w:tc>
        <w:tc>
          <w:tcPr>
            <w:tcW w:w="1410" w:type="dxa"/>
          </w:tcPr>
          <w:p w:rsidR="005004B0" w:rsidRPr="008800C4" w:rsidRDefault="003930F8" w:rsidP="001A2D8A">
            <w:pPr>
              <w:jc w:val="both"/>
              <w:rPr>
                <w:rFonts w:ascii="Arial" w:hAnsi="Arial" w:cs="Arial"/>
              </w:rPr>
            </w:pPr>
            <w:r>
              <w:rPr>
                <w:rFonts w:ascii="Arial" w:hAnsi="Arial" w:cs="Arial"/>
              </w:rPr>
              <w:t>25</w:t>
            </w:r>
            <w:r w:rsidR="008A4361" w:rsidRPr="008800C4">
              <w:rPr>
                <w:rFonts w:ascii="Arial" w:hAnsi="Arial" w:cs="Arial"/>
              </w:rPr>
              <w:t xml:space="preserve"> marks</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3</w:t>
            </w:r>
          </w:p>
        </w:tc>
        <w:tc>
          <w:tcPr>
            <w:tcW w:w="7480" w:type="dxa"/>
          </w:tcPr>
          <w:p w:rsidR="008A4361" w:rsidRPr="00276000" w:rsidRDefault="003930F8" w:rsidP="00276000">
            <w:pPr>
              <w:autoSpaceDE w:val="0"/>
              <w:autoSpaceDN w:val="0"/>
              <w:adjustRightInd w:val="0"/>
              <w:jc w:val="both"/>
              <w:rPr>
                <w:rFonts w:ascii="Arial" w:hAnsi="Arial" w:cs="Arial"/>
                <w:sz w:val="28"/>
                <w:szCs w:val="28"/>
                <w:lang w:eastAsia="en-GB"/>
              </w:rPr>
            </w:pPr>
            <w:r w:rsidRPr="00276000">
              <w:rPr>
                <w:rFonts w:ascii="Arial" w:hAnsi="Arial" w:cs="Arial"/>
                <w:bCs/>
                <w:sz w:val="28"/>
                <w:szCs w:val="28"/>
                <w:lang w:eastAsia="en-GB"/>
              </w:rPr>
              <w:t>Prepare a critical analysis on the</w:t>
            </w:r>
            <w:r w:rsidR="00276000" w:rsidRPr="00276000">
              <w:rPr>
                <w:rFonts w:ascii="Arial" w:hAnsi="Arial" w:cs="Arial"/>
                <w:bCs/>
                <w:sz w:val="28"/>
                <w:szCs w:val="28"/>
                <w:lang w:eastAsia="en-GB"/>
              </w:rPr>
              <w:t xml:space="preserve"> </w:t>
            </w:r>
            <w:r w:rsidR="00276000" w:rsidRPr="00276000">
              <w:rPr>
                <w:rFonts w:ascii="Arial" w:hAnsi="Arial" w:cs="Arial"/>
                <w:bCs/>
                <w:i/>
                <w:sz w:val="28"/>
                <w:szCs w:val="28"/>
                <w:lang w:eastAsia="en-GB"/>
              </w:rPr>
              <w:t>“</w:t>
            </w:r>
            <w:r w:rsidR="00276000" w:rsidRPr="00276000">
              <w:rPr>
                <w:rFonts w:ascii="Arial" w:hAnsi="Arial" w:cs="Arial"/>
                <w:bCs/>
                <w:i/>
                <w:sz w:val="28"/>
                <w:szCs w:val="28"/>
                <w:lang w:eastAsia="en-GB"/>
              </w:rPr>
              <w:t>Visual</w:t>
            </w:r>
            <w:bookmarkStart w:id="1" w:name="_GoBack"/>
            <w:bookmarkEnd w:id="1"/>
            <w:r w:rsidR="00276000" w:rsidRPr="00276000">
              <w:rPr>
                <w:rFonts w:ascii="Arial" w:hAnsi="Arial" w:cs="Arial"/>
                <w:bCs/>
                <w:i/>
                <w:sz w:val="28"/>
                <w:szCs w:val="28"/>
                <w:lang w:eastAsia="en-GB"/>
              </w:rPr>
              <w:t>isation of Integrated Patient-Centric Data</w:t>
            </w:r>
            <w:r w:rsidR="00276000" w:rsidRPr="00276000">
              <w:rPr>
                <w:rFonts w:ascii="Arial" w:hAnsi="Arial" w:cs="Arial"/>
                <w:bCs/>
                <w:i/>
                <w:sz w:val="28"/>
                <w:szCs w:val="28"/>
                <w:lang w:eastAsia="en-GB"/>
              </w:rPr>
              <w:t xml:space="preserve"> </w:t>
            </w:r>
            <w:r w:rsidR="00276000" w:rsidRPr="00276000">
              <w:rPr>
                <w:rFonts w:ascii="Arial" w:hAnsi="Arial" w:cs="Arial"/>
                <w:bCs/>
                <w:i/>
                <w:sz w:val="28"/>
                <w:szCs w:val="28"/>
                <w:lang w:eastAsia="en-GB"/>
              </w:rPr>
              <w:t>as Pathways: Enhancing Electronic Medical</w:t>
            </w:r>
            <w:r w:rsidR="00276000" w:rsidRPr="00276000">
              <w:rPr>
                <w:rFonts w:ascii="Arial" w:hAnsi="Arial" w:cs="Arial"/>
                <w:bCs/>
                <w:i/>
                <w:sz w:val="28"/>
                <w:szCs w:val="28"/>
                <w:lang w:eastAsia="en-GB"/>
              </w:rPr>
              <w:t xml:space="preserve"> </w:t>
            </w:r>
            <w:r w:rsidR="00276000" w:rsidRPr="00276000">
              <w:rPr>
                <w:rFonts w:ascii="Arial" w:hAnsi="Arial" w:cs="Arial"/>
                <w:bCs/>
                <w:i/>
                <w:sz w:val="28"/>
                <w:szCs w:val="28"/>
                <w:lang w:eastAsia="en-GB"/>
              </w:rPr>
              <w:t>Records in Clinical Practice</w:t>
            </w:r>
            <w:r w:rsidR="00276000" w:rsidRPr="00276000">
              <w:rPr>
                <w:rFonts w:ascii="Arial" w:hAnsi="Arial" w:cs="Arial"/>
                <w:bCs/>
                <w:i/>
                <w:sz w:val="28"/>
                <w:szCs w:val="28"/>
                <w:lang w:eastAsia="en-GB"/>
              </w:rPr>
              <w:t>”.</w:t>
            </w:r>
          </w:p>
        </w:tc>
        <w:tc>
          <w:tcPr>
            <w:tcW w:w="1410" w:type="dxa"/>
          </w:tcPr>
          <w:p w:rsidR="005004B0" w:rsidRPr="008800C4" w:rsidRDefault="003930F8" w:rsidP="00D11888">
            <w:pPr>
              <w:jc w:val="both"/>
              <w:rPr>
                <w:rFonts w:ascii="Arial" w:hAnsi="Arial" w:cs="Arial"/>
              </w:rPr>
            </w:pPr>
            <w:r>
              <w:rPr>
                <w:rFonts w:ascii="Arial" w:hAnsi="Arial" w:cs="Arial"/>
              </w:rPr>
              <w:t>25</w:t>
            </w:r>
            <w:r w:rsidR="008A4361" w:rsidRPr="008800C4">
              <w:rPr>
                <w:rFonts w:ascii="Arial" w:hAnsi="Arial" w:cs="Arial"/>
              </w:rPr>
              <w:t xml:space="preserve"> marks</w:t>
            </w:r>
          </w:p>
        </w:tc>
      </w:tr>
      <w:tr w:rsidR="00D14B39" w:rsidRPr="008800C4" w:rsidTr="008A4361">
        <w:tc>
          <w:tcPr>
            <w:tcW w:w="603" w:type="dxa"/>
          </w:tcPr>
          <w:p w:rsidR="00D14B39" w:rsidRPr="008800C4" w:rsidRDefault="00D14B39" w:rsidP="00D14B39">
            <w:pPr>
              <w:jc w:val="center"/>
              <w:rPr>
                <w:rFonts w:ascii="Arial" w:hAnsi="Arial" w:cs="Arial"/>
                <w:b/>
              </w:rPr>
            </w:pPr>
            <w:r w:rsidRPr="008800C4">
              <w:rPr>
                <w:rFonts w:ascii="Arial" w:hAnsi="Arial" w:cs="Arial"/>
                <w:b/>
              </w:rPr>
              <w:t>4</w:t>
            </w:r>
          </w:p>
        </w:tc>
        <w:tc>
          <w:tcPr>
            <w:tcW w:w="7480" w:type="dxa"/>
          </w:tcPr>
          <w:p w:rsidR="00D14B39" w:rsidRPr="00276000" w:rsidRDefault="003930F8" w:rsidP="00276000">
            <w:pPr>
              <w:autoSpaceDE w:val="0"/>
              <w:autoSpaceDN w:val="0"/>
              <w:adjustRightInd w:val="0"/>
              <w:jc w:val="both"/>
              <w:rPr>
                <w:rFonts w:ascii="Arial" w:hAnsi="Arial" w:cs="Arial"/>
                <w:sz w:val="28"/>
                <w:szCs w:val="28"/>
                <w:lang w:eastAsia="en-GB"/>
              </w:rPr>
            </w:pPr>
            <w:r w:rsidRPr="00276000">
              <w:rPr>
                <w:rFonts w:ascii="Arial" w:hAnsi="Arial" w:cs="Arial"/>
                <w:bCs/>
                <w:sz w:val="28"/>
                <w:szCs w:val="28"/>
                <w:lang w:eastAsia="en-GB"/>
              </w:rPr>
              <w:t>Critically analyze</w:t>
            </w:r>
            <w:r w:rsidR="00276000">
              <w:rPr>
                <w:rFonts w:ascii="Arial" w:hAnsi="Arial" w:cs="Arial"/>
                <w:bCs/>
                <w:sz w:val="28"/>
                <w:szCs w:val="28"/>
                <w:lang w:eastAsia="en-GB"/>
              </w:rPr>
              <w:t xml:space="preserve"> </w:t>
            </w:r>
            <w:r w:rsidRPr="00276000">
              <w:rPr>
                <w:rFonts w:ascii="Arial" w:hAnsi="Arial" w:cs="Arial"/>
                <w:bCs/>
                <w:i/>
                <w:sz w:val="28"/>
                <w:szCs w:val="28"/>
                <w:lang w:eastAsia="en-GB"/>
              </w:rPr>
              <w:t>“</w:t>
            </w:r>
            <w:r w:rsidR="00276000" w:rsidRPr="00276000">
              <w:rPr>
                <w:rFonts w:ascii="Arial" w:hAnsi="Arial" w:cs="Arial"/>
                <w:bCs/>
                <w:i/>
                <w:sz w:val="28"/>
                <w:szCs w:val="28"/>
                <w:lang w:eastAsia="en-GB"/>
              </w:rPr>
              <w:t>Recommender Systems for Health Informatics:</w:t>
            </w:r>
            <w:r w:rsidR="00276000" w:rsidRPr="00276000">
              <w:rPr>
                <w:rFonts w:ascii="Arial" w:hAnsi="Arial" w:cs="Arial"/>
                <w:bCs/>
                <w:i/>
                <w:sz w:val="28"/>
                <w:szCs w:val="28"/>
                <w:lang w:eastAsia="en-GB"/>
              </w:rPr>
              <w:t xml:space="preserve"> </w:t>
            </w:r>
            <w:r w:rsidR="00276000" w:rsidRPr="00276000">
              <w:rPr>
                <w:rFonts w:ascii="Arial" w:hAnsi="Arial" w:cs="Arial"/>
                <w:bCs/>
                <w:i/>
                <w:sz w:val="28"/>
                <w:szCs w:val="28"/>
                <w:lang w:eastAsia="en-GB"/>
              </w:rPr>
              <w:t>State-of-the-Art and Future Perspectives</w:t>
            </w:r>
            <w:r w:rsidRPr="00276000">
              <w:rPr>
                <w:rFonts w:ascii="Arial" w:hAnsi="Arial" w:cs="Arial"/>
                <w:bCs/>
                <w:i/>
                <w:sz w:val="28"/>
                <w:szCs w:val="28"/>
                <w:lang w:eastAsia="en-GB"/>
              </w:rPr>
              <w:t>”.</w:t>
            </w:r>
          </w:p>
        </w:tc>
        <w:tc>
          <w:tcPr>
            <w:tcW w:w="1410" w:type="dxa"/>
          </w:tcPr>
          <w:p w:rsidR="00D14B39" w:rsidRPr="008800C4" w:rsidRDefault="003930F8" w:rsidP="00D14B39">
            <w:pPr>
              <w:rPr>
                <w:rFonts w:ascii="Arial" w:hAnsi="Arial" w:cs="Arial"/>
              </w:rPr>
            </w:pPr>
            <w:r>
              <w:rPr>
                <w:rFonts w:ascii="Arial" w:hAnsi="Arial" w:cs="Arial"/>
              </w:rPr>
              <w:t>25</w:t>
            </w:r>
            <w:r w:rsidR="00D14B39" w:rsidRPr="008800C4">
              <w:rPr>
                <w:rFonts w:ascii="Arial" w:hAnsi="Arial" w:cs="Arial"/>
              </w:rPr>
              <w:t xml:space="preserve"> marks</w:t>
            </w:r>
          </w:p>
        </w:tc>
      </w:tr>
      <w:tr w:rsidR="008A4361" w:rsidRPr="008800C4" w:rsidTr="008A4361">
        <w:trPr>
          <w:trHeight w:val="70"/>
        </w:trPr>
        <w:tc>
          <w:tcPr>
            <w:tcW w:w="603" w:type="dxa"/>
          </w:tcPr>
          <w:p w:rsidR="008A4361" w:rsidRPr="008800C4" w:rsidRDefault="008A4361" w:rsidP="001A2D8A">
            <w:pPr>
              <w:jc w:val="center"/>
              <w:rPr>
                <w:rFonts w:ascii="Arial" w:hAnsi="Arial" w:cs="Arial"/>
                <w:b/>
              </w:rPr>
            </w:pPr>
          </w:p>
        </w:tc>
        <w:tc>
          <w:tcPr>
            <w:tcW w:w="7480" w:type="dxa"/>
          </w:tcPr>
          <w:p w:rsidR="008A4361" w:rsidRPr="008800C4" w:rsidRDefault="008A4361" w:rsidP="008A4361">
            <w:pPr>
              <w:jc w:val="right"/>
              <w:rPr>
                <w:rFonts w:ascii="Arial" w:hAnsi="Arial" w:cs="Arial"/>
                <w:b/>
                <w:bCs/>
              </w:rPr>
            </w:pPr>
            <w:r w:rsidRPr="008800C4">
              <w:rPr>
                <w:rFonts w:ascii="Arial" w:hAnsi="Arial" w:cs="Arial"/>
                <w:b/>
                <w:bCs/>
              </w:rPr>
              <w:t>TOTAL</w:t>
            </w:r>
          </w:p>
        </w:tc>
        <w:tc>
          <w:tcPr>
            <w:tcW w:w="1410" w:type="dxa"/>
          </w:tcPr>
          <w:p w:rsidR="008A4361" w:rsidRPr="008800C4" w:rsidRDefault="008A4361" w:rsidP="008A4361">
            <w:pPr>
              <w:jc w:val="both"/>
              <w:rPr>
                <w:rFonts w:ascii="Arial" w:hAnsi="Arial" w:cs="Arial"/>
                <w:b/>
              </w:rPr>
            </w:pPr>
            <w:r w:rsidRPr="008800C4">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D91" w:rsidRDefault="00692D91">
      <w:r>
        <w:separator/>
      </w:r>
    </w:p>
  </w:endnote>
  <w:endnote w:type="continuationSeparator" w:id="0">
    <w:p w:rsidR="00692D91" w:rsidRDefault="00692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3930F8">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D91" w:rsidRDefault="00692D91">
      <w:r>
        <w:separator/>
      </w:r>
    </w:p>
  </w:footnote>
  <w:footnote w:type="continuationSeparator" w:id="0">
    <w:p w:rsidR="00692D91" w:rsidRDefault="00692D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464A9"/>
    <w:rsid w:val="00054AC1"/>
    <w:rsid w:val="00060C46"/>
    <w:rsid w:val="00062B44"/>
    <w:rsid w:val="00063EDD"/>
    <w:rsid w:val="000742DE"/>
    <w:rsid w:val="00074616"/>
    <w:rsid w:val="00075BAA"/>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02B1"/>
    <w:rsid w:val="001A2D8A"/>
    <w:rsid w:val="001A77B3"/>
    <w:rsid w:val="001B7256"/>
    <w:rsid w:val="001D437D"/>
    <w:rsid w:val="001E0E75"/>
    <w:rsid w:val="001E12D1"/>
    <w:rsid w:val="001F152E"/>
    <w:rsid w:val="001F1C66"/>
    <w:rsid w:val="001F7243"/>
    <w:rsid w:val="00205751"/>
    <w:rsid w:val="00234A6A"/>
    <w:rsid w:val="00247347"/>
    <w:rsid w:val="00253F28"/>
    <w:rsid w:val="002606A5"/>
    <w:rsid w:val="00261ACB"/>
    <w:rsid w:val="00276000"/>
    <w:rsid w:val="002772C1"/>
    <w:rsid w:val="00284F7D"/>
    <w:rsid w:val="002859A1"/>
    <w:rsid w:val="002916CC"/>
    <w:rsid w:val="00292E78"/>
    <w:rsid w:val="002A1D14"/>
    <w:rsid w:val="002C6711"/>
    <w:rsid w:val="002D4761"/>
    <w:rsid w:val="002D65CB"/>
    <w:rsid w:val="002E3EA1"/>
    <w:rsid w:val="00300034"/>
    <w:rsid w:val="00301DC7"/>
    <w:rsid w:val="00302C4A"/>
    <w:rsid w:val="00304532"/>
    <w:rsid w:val="0031179E"/>
    <w:rsid w:val="00331E6C"/>
    <w:rsid w:val="003363AD"/>
    <w:rsid w:val="00336FC7"/>
    <w:rsid w:val="00344900"/>
    <w:rsid w:val="00350899"/>
    <w:rsid w:val="00350EC0"/>
    <w:rsid w:val="00362B85"/>
    <w:rsid w:val="00371CAF"/>
    <w:rsid w:val="00372B63"/>
    <w:rsid w:val="003930F8"/>
    <w:rsid w:val="003A5DB4"/>
    <w:rsid w:val="003C5DA6"/>
    <w:rsid w:val="003E4D6D"/>
    <w:rsid w:val="003F1012"/>
    <w:rsid w:val="003F6DA6"/>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0E08"/>
    <w:rsid w:val="005B29C5"/>
    <w:rsid w:val="005B2BF6"/>
    <w:rsid w:val="005B63B6"/>
    <w:rsid w:val="005E03CA"/>
    <w:rsid w:val="005E3C84"/>
    <w:rsid w:val="005E412F"/>
    <w:rsid w:val="005F47EC"/>
    <w:rsid w:val="006051B7"/>
    <w:rsid w:val="0060742A"/>
    <w:rsid w:val="00612354"/>
    <w:rsid w:val="006318AE"/>
    <w:rsid w:val="006334A5"/>
    <w:rsid w:val="006428D6"/>
    <w:rsid w:val="00657D99"/>
    <w:rsid w:val="006601A6"/>
    <w:rsid w:val="00664DB5"/>
    <w:rsid w:val="006715D7"/>
    <w:rsid w:val="00674843"/>
    <w:rsid w:val="0067640A"/>
    <w:rsid w:val="00681EDA"/>
    <w:rsid w:val="00684BD4"/>
    <w:rsid w:val="00690DD5"/>
    <w:rsid w:val="00692D91"/>
    <w:rsid w:val="00697B43"/>
    <w:rsid w:val="006A00EB"/>
    <w:rsid w:val="006C6B74"/>
    <w:rsid w:val="006D4E9E"/>
    <w:rsid w:val="006F1121"/>
    <w:rsid w:val="006F1E90"/>
    <w:rsid w:val="00707386"/>
    <w:rsid w:val="00711D22"/>
    <w:rsid w:val="00711D88"/>
    <w:rsid w:val="00713584"/>
    <w:rsid w:val="007250B6"/>
    <w:rsid w:val="00745DD1"/>
    <w:rsid w:val="00746F60"/>
    <w:rsid w:val="0075082E"/>
    <w:rsid w:val="00760691"/>
    <w:rsid w:val="00761D5E"/>
    <w:rsid w:val="007651FD"/>
    <w:rsid w:val="007774A2"/>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2913"/>
    <w:rsid w:val="00855276"/>
    <w:rsid w:val="0086401E"/>
    <w:rsid w:val="00874908"/>
    <w:rsid w:val="008800C4"/>
    <w:rsid w:val="00880F9F"/>
    <w:rsid w:val="0088748A"/>
    <w:rsid w:val="008937C6"/>
    <w:rsid w:val="00894B1B"/>
    <w:rsid w:val="008A01E7"/>
    <w:rsid w:val="008A4361"/>
    <w:rsid w:val="008A62E0"/>
    <w:rsid w:val="008A7C39"/>
    <w:rsid w:val="008B5FE0"/>
    <w:rsid w:val="008D3F37"/>
    <w:rsid w:val="008E6C2A"/>
    <w:rsid w:val="00900348"/>
    <w:rsid w:val="00903CB2"/>
    <w:rsid w:val="00907A70"/>
    <w:rsid w:val="00915580"/>
    <w:rsid w:val="009241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4199E"/>
    <w:rsid w:val="00A43875"/>
    <w:rsid w:val="00A5099A"/>
    <w:rsid w:val="00A51800"/>
    <w:rsid w:val="00A52229"/>
    <w:rsid w:val="00A5325B"/>
    <w:rsid w:val="00A62F82"/>
    <w:rsid w:val="00A64686"/>
    <w:rsid w:val="00A81845"/>
    <w:rsid w:val="00A81F97"/>
    <w:rsid w:val="00A92E9F"/>
    <w:rsid w:val="00A93BFB"/>
    <w:rsid w:val="00AA42B6"/>
    <w:rsid w:val="00AB5E8C"/>
    <w:rsid w:val="00AB7AD2"/>
    <w:rsid w:val="00AC1F3E"/>
    <w:rsid w:val="00AD646B"/>
    <w:rsid w:val="00B03707"/>
    <w:rsid w:val="00B2791D"/>
    <w:rsid w:val="00B33C60"/>
    <w:rsid w:val="00B342E3"/>
    <w:rsid w:val="00B35B51"/>
    <w:rsid w:val="00B3778D"/>
    <w:rsid w:val="00B511C4"/>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921"/>
    <w:rsid w:val="00C344A7"/>
    <w:rsid w:val="00C53DF9"/>
    <w:rsid w:val="00C5694F"/>
    <w:rsid w:val="00C75B5F"/>
    <w:rsid w:val="00C920A5"/>
    <w:rsid w:val="00C96335"/>
    <w:rsid w:val="00CA7C3A"/>
    <w:rsid w:val="00CB0898"/>
    <w:rsid w:val="00CB0E3D"/>
    <w:rsid w:val="00CB7E74"/>
    <w:rsid w:val="00CC5E28"/>
    <w:rsid w:val="00CD63A8"/>
    <w:rsid w:val="00CD670D"/>
    <w:rsid w:val="00CD749E"/>
    <w:rsid w:val="00CE0FF9"/>
    <w:rsid w:val="00CE52DB"/>
    <w:rsid w:val="00CF1001"/>
    <w:rsid w:val="00CF5E24"/>
    <w:rsid w:val="00CF622A"/>
    <w:rsid w:val="00D115E9"/>
    <w:rsid w:val="00D11888"/>
    <w:rsid w:val="00D13A71"/>
    <w:rsid w:val="00D14B39"/>
    <w:rsid w:val="00D17A10"/>
    <w:rsid w:val="00D243D5"/>
    <w:rsid w:val="00D30AAB"/>
    <w:rsid w:val="00D56BA8"/>
    <w:rsid w:val="00D66AFD"/>
    <w:rsid w:val="00D7338A"/>
    <w:rsid w:val="00D7351F"/>
    <w:rsid w:val="00D73D6F"/>
    <w:rsid w:val="00D85864"/>
    <w:rsid w:val="00D87C94"/>
    <w:rsid w:val="00D90E7A"/>
    <w:rsid w:val="00DB3A08"/>
    <w:rsid w:val="00DB5B11"/>
    <w:rsid w:val="00DC12CD"/>
    <w:rsid w:val="00DD5358"/>
    <w:rsid w:val="00DE687A"/>
    <w:rsid w:val="00DE789D"/>
    <w:rsid w:val="00E04784"/>
    <w:rsid w:val="00E05AB3"/>
    <w:rsid w:val="00E07A2D"/>
    <w:rsid w:val="00E13F61"/>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C6AF3"/>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09838C"/>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1664</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43</cp:revision>
  <cp:lastPrinted>2011-10-02T05:53:00Z</cp:lastPrinted>
  <dcterms:created xsi:type="dcterms:W3CDTF">2017-08-28T05:22:00Z</dcterms:created>
  <dcterms:modified xsi:type="dcterms:W3CDTF">2018-10-27T02:52:00Z</dcterms:modified>
</cp:coreProperties>
</file>